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ДОГОВОР № _______-Р/О-А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на оказание услуг по обращению</w:t>
        <w:br/>
        <w:t>с твердыми коммунальными отходами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л/сч. № 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г. Липецк                         </w:t>
        <w:tab/>
        <w:tab/>
        <w:tab/>
        <w:t xml:space="preserve">                                       "_____" ______________ 202_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 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ab/>
        <w:t>Общество с ограниченной ответственностью «Региональная Многопрофильная Компания» (ООО «РМК»),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именуемое в дальнейшем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региональным оператором по обращению с твердыми коммунальными отходами (далее -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Региональный оператор»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)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, в лице директора Горшина Александра Александровича, действующего на основании Устава, с одной стороны, и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ab/>
        <w:t>_________________________________________________________</w:t>
      </w:r>
      <w:r>
        <w:rPr>
          <w:rFonts w:cs="Times New Roman" w:ascii="Times New Roman" w:hAnsi="Times New Roman"/>
          <w:b/>
          <w:sz w:val="21"/>
          <w:szCs w:val="21"/>
        </w:rPr>
        <w:t xml:space="preserve">, </w:t>
      </w:r>
      <w:r>
        <w:rPr>
          <w:rFonts w:cs="Times New Roman" w:ascii="Times New Roman" w:hAnsi="Times New Roman"/>
          <w:sz w:val="21"/>
          <w:szCs w:val="21"/>
        </w:rPr>
        <w:t xml:space="preserve">именуемый в дальнейшем </w:t>
      </w:r>
      <w:r>
        <w:rPr>
          <w:rFonts w:cs="Times New Roman" w:ascii="Times New Roman" w:hAnsi="Times New Roman"/>
          <w:b/>
          <w:sz w:val="21"/>
          <w:szCs w:val="21"/>
        </w:rPr>
        <w:t>«Потребитель»,</w:t>
      </w:r>
      <w:r>
        <w:rPr>
          <w:rFonts w:cs="Times New Roman" w:ascii="Times New Roman" w:hAnsi="Times New Roman"/>
          <w:sz w:val="21"/>
          <w:szCs w:val="21"/>
        </w:rPr>
        <w:t xml:space="preserve"> действующий на основании _______________________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, с другой стороны, именуемые в дальнейшем «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стороны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», заключили настоящий договор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(далее Договор)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I. Предмет договора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 xml:space="preserve">1.1. По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 xml:space="preserve">настоящему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оговору Региональный оператор обязуется принимать твердые коммунальные отходы (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далее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 xml:space="preserve"> ТКО) в объеме и в месте, которые определены в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 xml:space="preserve">оговоре, и обеспечивать их транспортирование,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в соответствии с законодательством Российской Федерации, а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 xml:space="preserve">отребитель обязуется оплачивать услуги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 xml:space="preserve">егионального оператора (далее - услуги) по цене, определенной в пределах утвержденного единого тарифа на услугу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егионального оператора.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1.2. Объем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, места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(площадки)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накопления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, в том числе крупногабаритных отходов,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способ складирования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и периодичность вывоза, а также информация о размещении мест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(площадок)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накопления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определяются согласно </w:t>
      </w:r>
      <w:r>
        <w:fldChar w:fldCharType="begin"/>
      </w:r>
      <w:r>
        <w:rPr>
          <w:sz w:val="21"/>
          <w:szCs w:val="21"/>
          <w:bCs/>
          <w:rFonts w:eastAsia="Times New Roman" w:cs="Times New Roman" w:ascii="Times New Roman" w:hAnsi="Times New Roman"/>
        </w:rPr>
        <w:instrText> HYPERLINK "http://base.garant.ru/71540160/0955ab749140f921c85c864529b8e579/" \l "block_21000"</w:instrTex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separate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приложению</w: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 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риложению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к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оговору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           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1.3. Датой начала оказания услуг считается  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"___" ____________ 202__г.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II. Сроки и порядок оплаты по договору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           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2.1. Под расчетным периодом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в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настоящем 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е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 понимается  один календарный месяц. Оплата услуг по настоящему договору осуществляется по цене, определенной в пределах  утвержденного  в  установленном  порядке  единого тарифа на услугу Регионального оператора,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указанного в 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1"/>
          <w:szCs w:val="21"/>
          <w:lang w:val="ru-RU" w:eastAsia="ru-RU" w:bidi="ar-SA"/>
        </w:rPr>
        <w:t>риложени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1"/>
          <w:szCs w:val="21"/>
          <w:lang w:val="ru-RU" w:eastAsia="ru-RU" w:bidi="ar-SA"/>
        </w:rPr>
        <w:t xml:space="preserve">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1"/>
          <w:szCs w:val="21"/>
          <w:lang w:val="ru-RU" w:eastAsia="ru-RU" w:bidi="ar-SA"/>
        </w:rPr>
        <w:t xml:space="preserve">к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1"/>
          <w:szCs w:val="21"/>
          <w:lang w:val="ru-RU" w:eastAsia="ru-RU" w:bidi="ar-SA"/>
        </w:rPr>
        <w:t xml:space="preserve">оговору. Цена может изменяться Региональным оператором в одностороннем порядке при корректировке или пересмотре органом регулирования (Министерством энергетики и тарифов Липецкой области) единого тарифа на услугу Регионального оператора.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 xml:space="preserve">2.2. </w:t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 xml:space="preserve">Региональный оператор представляет Потребителю платежный документ (квитанцию)  не позднее 1-го числа месяца, следующего за истекшим расчетным периодом, за который производится оплата.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2.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3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 Потребитель оплачивает услуги по обращению с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ежемесячно до 10-го числа месяца, следующего за истекшим месяцем, в соответствии со ст. 155 Жилищного кодекса Российской Федерации.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ab/>
        <w:t>2.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 xml:space="preserve">При утверждении в установленном порядке уполномоченными органами новых величин единого тарифа на услугу Регионального оператора и (или) нормативов накопления ТКО, стоимость услуг по </w:t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>Д</w:t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>оговору изменяется соответственно новым тарифам и (или) нормативам с даты их официального утверждения.</w:t>
      </w:r>
      <w:r>
        <w:rPr>
          <w:rFonts w:eastAsia="Times New Roman" w:cs="Times New Roman" w:ascii="Times New Roman" w:hAnsi="Times New Roman"/>
          <w:bCs/>
          <w:color w:val="FF0000"/>
          <w:sz w:val="21"/>
          <w:szCs w:val="21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 xml:space="preserve">При этом дополнительное согласование с Потребителем и (или) внесение изменений в настоящий </w:t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>Д</w:t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 xml:space="preserve">оговор в таком случае не требуется.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FF0000"/>
          <w:sz w:val="21"/>
          <w:szCs w:val="21"/>
          <w:lang w:eastAsia="ru-RU"/>
        </w:rPr>
        <w:tab/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 xml:space="preserve">Информирование потребителя о едином тарифе на услугу Регионального оператора может осуществляться Региональным оператором путем </w:t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 xml:space="preserve">размещения информации на обратной стороне платежного документа (квитанции), </w:t>
      </w:r>
      <w:r>
        <w:rPr>
          <w:rFonts w:eastAsia="Times New Roman" w:cs="Times New Roman" w:ascii="Times New Roman" w:hAnsi="Times New Roman"/>
          <w:bCs/>
          <w:sz w:val="21"/>
          <w:szCs w:val="21"/>
          <w:lang w:eastAsia="ru-RU"/>
        </w:rPr>
        <w:t xml:space="preserve">публикации в средствах массовой информации и (или) размещения информации на официальном сайте Регионального оператора.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III. Права и обязанности сторон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Times New Roman" w:hAnsi="Times New Roman"/>
          <w:b/>
          <w:bCs/>
          <w:color w:val="000000"/>
          <w:kern w:val="0"/>
          <w:sz w:val="21"/>
          <w:szCs w:val="21"/>
          <w:lang w:val="en-US" w:eastAsia="ru-RU" w:bidi="ar-SA"/>
        </w:rPr>
        <w:tab/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en-US" w:eastAsia="ru-RU" w:bidi="ar-SA"/>
        </w:rPr>
        <w:t>3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.1. Региональный оператор обязан: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а) принимать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в объеме и в месте, которые определены в </w:t>
      </w:r>
      <w:r>
        <w:fldChar w:fldCharType="begin"/>
      </w:r>
      <w:r>
        <w:rPr>
          <w:sz w:val="21"/>
          <w:szCs w:val="21"/>
          <w:bCs/>
          <w:rFonts w:eastAsia="Times New Roman" w:cs="Times New Roman" w:ascii="Times New Roman" w:hAnsi="Times New Roman"/>
        </w:rPr>
        <w:instrText> HYPERLINK "http://base.garant.ru/71540160/0955ab749140f921c85c864529b8e579/" \l "block_21000"</w:instrTex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separate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приложении</w: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 к настоящему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оговору;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б) обеспечивать транспортирование, обработку, энергетическую утилизацию, утилизацию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в) предоставлять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отребителю информацию в соответствии со стандартами раскрытия информации в области обращения с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ТКО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в порядке, предусмотренном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г) отвечать на жалобы и обращения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отребителей по вопросам, связанным с исполнением настоящего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оговора, в течение срока, установленного </w:t>
      </w:r>
      <w:r>
        <w:fldChar w:fldCharType="begin"/>
      </w:r>
      <w:r>
        <w:rPr>
          <w:sz w:val="21"/>
          <w:szCs w:val="21"/>
          <w:bCs/>
          <w:rFonts w:eastAsia="Times New Roman" w:cs="Times New Roman" w:ascii="Times New Roman" w:hAnsi="Times New Roman"/>
        </w:rPr>
        <w:instrText> HYPERLINK "http://base.garant.ru/12146661/3d3a9e2eb4f30c73ea6671464e2a54b5/" \l "block_10"</w:instrTex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separate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законодательством</w: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 Российской Федерации для рассмотрения обращений граждан;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ж) осуществлять действия по подбору оброненных (просыпавшихся) при погрузке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и перемещению их в мусоровоз.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en-US" w:eastAsia="ru-RU" w:bidi="ar-SA"/>
        </w:rPr>
        <w:t>3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.2. Региональный оператор имеет право: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а) осуществлять складирование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в местах (площадках) накопления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, определенных приложением к настоящему договору, в соответствии с реестром мест (площадок) накопления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или иным способом в соответствии с «Правилами обращения с твердыми коммунальными отходами», утвержденными постановлением Правительства Российской Федерации от 7 марта 2025 г. N 293 "О порядке обращения с твердыми коммунальными отходами";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б) </w:t>
      </w: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 xml:space="preserve">использовать средства фото- или видеофиксации, в том числе видеорегистраторы </w:t>
      </w: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>и мобильные телефоны</w:t>
      </w: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 xml:space="preserve">, а также данные спутниковой навигации GPS/ГЛОНАСС для фиксации фактов и обстоятельств, связанных с исполнением сторонами обязательств по настоящему </w:t>
      </w: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>Д</w:t>
      </w: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 xml:space="preserve">оговору, и использовать полученные данные, а также путевые листы Регионального оператора с маршрутными графиками при разрешении споров касательно исполнения настоящего </w:t>
      </w: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>Д</w:t>
      </w: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>оговора;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>в) не принимать от Потребителя отходы не относящиеся к ТКО.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en-US" w:eastAsia="ru-RU" w:bidi="ar-SA"/>
        </w:rPr>
        <w:t>3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.3. Потребитель обязан: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а) осуществлять складирование ТКО в местах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(площадках)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накопления ТКО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 xml:space="preserve">, определенных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приложением к настоящему Д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оговор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у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, в соответствии с территориальной схемой обращения с отходами;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в) производить оплату по настоящему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оговору в порядке, размере и сроки, которые определены настоящим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оговором;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г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) осуществлять разделение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по видам отходов, группам отходов и группам однородных отходов и складирование таких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, утвержденным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д)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не допускать повреждения контейнеров и (или) бункеров, сжигания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в контейнерах и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(или) бункерах, а также на контейнерных площадках.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Не допускать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складирования в контейнерах и (или) бункерах запрещенных отходов и предметов (горящие,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биологические отходы, медицинские отходы, 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отходы,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ТКО),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а также иных отходов и предметов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не являющихся твердыми коммунальными отходами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ж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) не заполнять контейнеры для ТКО, предназначенные для накопления отходов других лиц и не указанные в настоящем договоре, или контейнеры, не предназначенные для таких видов отходов;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з) в случае обнаружения возгорания ТКО в контейнерах и (или) на контейнерной площадке известить о данном факте органы пожарной службы, принять возможные меры по тушению и известить Регионального оператора по телефонам, указанным в настоящем договоре;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и) не допускать перемещения контейнеров и (или) бункеров с контейнерной площадки без согласования с Региональным оператором;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к)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н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е допускать наличия припаркованных автомобилей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и складирования крупногабаритных отходов,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препятствующих выгрузке ТКО из контейнеров.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л) уведомить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егионального оператора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его получение адресатом: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- о переходе прав на объект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отребителя, указанны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й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в настоящем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оговоре, к новому собственнику в течение 30 календарных дней с момента перехода права собственности;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- об изменении количества зарегистрированных граждан по адресу оказания услуг в течение 30 календарных дней с момента такого изменения. 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en-US" w:eastAsia="ru-RU" w:bidi="ar-SA"/>
        </w:rPr>
        <w:t>3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.4. Потребитель имеет право: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а) получать от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егионального оператора информацию об изменении установленных тарифов в области обращения с твердыми коммунальными отходами;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б) инициировать проведение сверки расчетов по настоящему договору;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в) инициировать внесение изменений в условия настоящего договора, не противоречащих положениям «Правил обращения с твердыми коммунальными отходами», утвержденных постановлением Правительства Российской Федерации от 7 марта 2025 г. N 293 "О порядке обращения с твердыми коммунальными отходами";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г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) получать иную информацию от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егионального оператора, не противоречащую требованиям законодательства Российской Федерации.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val="en-US" w:eastAsia="ru-RU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V. Порядок осуществления учета объема и (или) массы твердых коммунальных отходов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Times New Roman" w:hAnsi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kern w:val="0"/>
          <w:sz w:val="21"/>
          <w:szCs w:val="21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lang w:val="en-US" w:eastAsia="ru-RU" w:bidi="ar-SA"/>
        </w:rPr>
        <w:t>4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lang w:val="ru-RU" w:eastAsia="ru-RU" w:bidi="ar-SA"/>
        </w:rPr>
        <w:t xml:space="preserve">.1. Стороны согласились производить учет объема и (или) массы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lang w:val="ru-RU" w:eastAsia="ru-RU" w:bidi="ar-SA"/>
        </w:rPr>
        <w:t>ТКО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lang w:val="ru-RU" w:eastAsia="ru-RU" w:bidi="ar-SA"/>
        </w:rPr>
        <w:t xml:space="preserve"> в соответствии с «</w:t>
      </w:r>
      <w:r>
        <w:fldChar w:fldCharType="begin"/>
      </w:r>
      <w:r>
        <w:rPr>
          <w:sz w:val="21"/>
          <w:u w:val="single"/>
          <w:b w:val="false"/>
          <w:kern w:val="0"/>
          <w:szCs w:val="21"/>
          <w:bCs/>
          <w:rFonts w:eastAsia="Times New Roman" w:cs="Times New Roman" w:ascii="Times New Roman" w:hAnsi="Times New Roman"/>
        </w:rPr>
        <w:instrText> HYPERLINK "http://base.garant.ru/71416736/539cadf319a096ebaacf24524cbd87cc/" \l "block_1000"</w:instrText>
      </w:r>
      <w:r>
        <w:rPr>
          <w:sz w:val="21"/>
          <w:u w:val="single"/>
          <w:b w:val="false"/>
          <w:kern w:val="0"/>
          <w:szCs w:val="21"/>
          <w:bCs/>
          <w:rFonts w:eastAsia="Times New Roman" w:cs="Times New Roman" w:ascii="Times New Roman" w:hAnsi="Times New Roman"/>
        </w:rPr>
        <w:fldChar w:fldCharType="separate"/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u w:val="single"/>
          <w:lang w:val="ru-RU" w:eastAsia="ru-RU" w:bidi="ar-SA"/>
        </w:rPr>
        <w:t>Правилами</w:t>
      </w:r>
      <w:r>
        <w:rPr>
          <w:sz w:val="21"/>
          <w:u w:val="single"/>
          <w:b w:val="false"/>
          <w:kern w:val="0"/>
          <w:szCs w:val="21"/>
          <w:bCs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lang w:val="ru-RU" w:eastAsia="ru-RU" w:bidi="ar-SA"/>
        </w:rPr>
        <w:t> коммерческого учета объема и (или) массы твердых коммунальных отходов», утвержденными </w:t>
      </w:r>
      <w:hyperlink r:id="rId2">
        <w:r>
          <w:rPr>
            <w:rFonts w:eastAsia="Times New Roman" w:cs="Times New Roman" w:ascii="Times New Roman" w:hAnsi="Times New Roman"/>
            <w:b w:val="false"/>
            <w:bCs/>
            <w:color w:val="000000"/>
            <w:kern w:val="0"/>
            <w:sz w:val="21"/>
            <w:szCs w:val="21"/>
            <w:u w:val="single"/>
            <w:lang w:val="ru-RU" w:eastAsia="ru-RU" w:bidi="ar-SA"/>
          </w:rPr>
          <w:t>постановлением</w:t>
        </w:r>
      </w:hyperlink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lang w:val="ru-RU" w:eastAsia="ru-RU" w:bidi="ar-SA"/>
        </w:rPr>
        <w:t> Правительства Российской Федерации от 24 мая 2024 г. N 671 "О коммерческом учете объема и (или) массы твердых коммунальных отходов", следующим способом: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/>
          <w:color w:val="000000"/>
          <w:kern w:val="0"/>
          <w:sz w:val="21"/>
          <w:szCs w:val="21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lang w:val="ru-RU" w:eastAsia="ru-RU" w:bidi="ar-SA"/>
        </w:rPr>
        <w:t xml:space="preserve">-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u w:val="single"/>
          <w:lang w:val="ru-RU" w:eastAsia="ru-RU" w:bidi="ar-SA"/>
        </w:rPr>
        <w:t>расчетным путем исходя из нормативов накопления твердых коммунальных отходов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lang w:val="ru-RU" w:eastAsia="ru-RU" w:bidi="ar-SA"/>
        </w:rPr>
        <w:t xml:space="preserve"> в показателях объема и количества расчетных единиц, используемых при определении нормативов накопления твердых коммунальных отходов;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/>
          <w:color w:val="000000"/>
          <w:kern w:val="0"/>
          <w:sz w:val="21"/>
          <w:szCs w:val="21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1"/>
          <w:szCs w:val="21"/>
          <w:lang w:val="ru-RU" w:eastAsia="ru-RU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V. Порядок фиксации нарушений по договору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Times New Roman" w:hAnsi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eastAsia="Times New Roman" w:cs="Arial" w:ascii="Times New Roman" w:hAnsi="Times New Roman"/>
          <w:b/>
          <w:bCs/>
          <w:color w:val="000000"/>
          <w:sz w:val="21"/>
          <w:szCs w:val="21"/>
          <w:lang w:eastAsia="ru-RU"/>
        </w:rPr>
        <w:tab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5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.1. О нарушении условий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оговора Потребитель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 xml:space="preserve">может сообщить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Регионально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му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оператор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у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по телефону +79803571403 в рабочее время (с понедельника по пятницу с 8:00 до 16:00, с указанием номера договора (лицевого счета), адреса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места накопления отходов (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контейнерной площадки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)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, ФИО потребителя и контактного номера телефона.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5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.2. В случае нарушения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егиональным оператором обязательств по настоящему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оговору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отребитель с участием представителя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егионального оператора составляет акт о нарушении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егиональным оператором обязательств по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оговору и вручает его представителю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егионального оператора. При неявке представителя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егионального оператора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отребитель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егиональному оператору с требованием устранить выявленные нарушения в течение разумного срока, определенного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отребителем.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ab/>
        <w:t xml:space="preserve">Региональный оператор в течение 3 рабочих дней со дня получения акта подписывает его и направляет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отребителю. В случае несогласия с содержанием акта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егиональный оператор вправе написать возражение на акт с мотивированным указанием причин своего несогласия и направить такое возражение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отребителю в течение 3 рабочих дней со дня получения акта.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ab/>
        <w:t xml:space="preserve">В случае невозможности устранения нарушений в сроки, предложенные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отребителем,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егиональный оператор предлагает иные сроки для устранения выявленных нарушений.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В случае если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егиональным оператором.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5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.3. В случае получения возражений Регионального оператора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отребитель обязан рассмотреть возражения и в случае согласия с возражениями внести соответствующие изменения в акт.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5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.4. Акт должен содержать: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а) сведения о заявителе (Ф.И.О., место жительства, контактные данные, почтовый адрес);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б) сведения об объекте (объектах), на котором образуются твердые коммунальные отходы, в отношении которого возникли разногласия (номер лицевого счета, местонахождение, правомочие на объект (объекты), которым обладает сторона, направившая акт);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в) сведения о нарушении соответствующих пунктов договора;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г) другие сведения по усмотрению стороны, в том числе материалы фото- и видеосъемки.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5.5. Потребитель направляет копию акта в уполномоченный исполнительный орган субъекта Российской Федерации, с которым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егиональным оператором заключено соглашение об организации деятельности по обращению с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VI. Ответственность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ab/>
        <w:t>6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.1. За неисполнение или ненадлежащее исполнение обязательств по настоящему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оговору стороны несут ответственность в соответствии с </w:t>
      </w:r>
      <w:r>
        <w:fldChar w:fldCharType="begin"/>
      </w:r>
      <w:r>
        <w:rPr>
          <w:sz w:val="21"/>
          <w:szCs w:val="21"/>
          <w:bCs/>
          <w:rFonts w:eastAsia="Times New Roman" w:cs="Times New Roman" w:ascii="Times New Roman" w:hAnsi="Times New Roman"/>
        </w:rPr>
        <w:instrText> HYPERLINK "http://base.garant.ru/10164072/2eb15671b4640f8a449b9fea2b7d89e0/" \l "block_1025"</w:instrTex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separate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законодательством</w: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 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6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.2. В случае неисполнения либо ненадлежащего исполнения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отребителем обязательств по оплате настоящего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оговора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Р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егиональный оператор вправе потребовать от Потребителя уплаты неустойки, пени в соответствии с действующим законодательством 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6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.3. За нарушение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равил обращения с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в части складирования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вне мест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(площадок)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 накопления таких отходов, определенных настоящим договором,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отребитель несет административную ответственность в</w:t>
      </w:r>
      <w:r>
        <w:rPr>
          <w:rFonts w:eastAsia="Times New Roman" w:cs="Arial" w:ascii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соответствии с </w:t>
      </w:r>
      <w:r>
        <w:fldChar w:fldCharType="begin"/>
      </w:r>
      <w:r>
        <w:rPr>
          <w:sz w:val="21"/>
          <w:szCs w:val="21"/>
          <w:bCs/>
          <w:rFonts w:eastAsia="Times New Roman" w:cs="Times New Roman" w:ascii="Times New Roman" w:hAnsi="Times New Roman"/>
        </w:rPr>
        <w:instrText> HYPERLINK "http://base.garant.ru/12125267/134df926347d321d8dc82c9551519f33/" \l "block_80"</w:instrTex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separate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законодательством</w: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 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6.3. В случае предоставления в расчетном периоде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П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отребителю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ТКО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VII. Обстоятельства непреодолимой силы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7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.1. Стороны освобождаются от ответственности за неисполнение либо ненадлежащее исполнение обязательств по настоящему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оговору, если оно явилось следствием обстоятельств непреодолимой силы. При этом срок исполнения обязательств по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7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ab/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val="en-US" w:eastAsia="ru-RU"/>
        </w:rPr>
        <w:t>VII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I. Действие договора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Times New Roman" w:hAnsi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ab/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en-US" w:eastAsia="ru-RU" w:bidi="ar-SA"/>
        </w:rPr>
        <w:t>8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.1. Настоящий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оговор заключается на срок 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по 30.06.2028г.</w:t>
      </w:r>
    </w:p>
    <w:p>
      <w:pPr>
        <w:pStyle w:val="Normal"/>
        <w:tabs>
          <w:tab w:val="clear" w:pos="720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ab/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en-US" w:eastAsia="ru-RU" w:bidi="ar-SA"/>
        </w:rPr>
        <w:t>8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.2. Настоящий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 считается продленным,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en-US" w:eastAsia="ru-RU" w:bidi="ar-SA"/>
        </w:rPr>
        <w:t>8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.3. Настоящий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 может быть расторгнут до окончания срока его действия в связи с прекращением права собственности на жилое помещение, либо по иным основаниям, предусмотренным законодательством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val="en-US" w:eastAsia="ru-RU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X. Прочие условия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 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en-US" w:eastAsia="ru-RU" w:bidi="ar-SA"/>
        </w:rPr>
        <w:t>9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.1. В целях оперативного обмена документами стороны признают и вправе использовать, в качестве официальных и имеющих юридическую силу, документы, переданные посредством телефонной (факс) связи или электронной почты (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e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mail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), с последующей отсылкой оригиналов этих документов почтой или передачей нарочным.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9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2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 При исполнении настоящего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оговора стороны обязуются руководствоваться законодательством Российской Федерации, в том числе положениями </w:t>
      </w:r>
      <w:hyperlink r:id="rId3">
        <w:r>
          <w:rPr>
            <w:rFonts w:eastAsia="Times New Roman" w:cs="Times New Roman" w:ascii="Times New Roman" w:hAnsi="Times New Roman"/>
            <w:bCs/>
            <w:color w:val="000000"/>
            <w:sz w:val="21"/>
            <w:szCs w:val="21"/>
            <w:lang w:eastAsia="ru-RU"/>
          </w:rPr>
          <w:t>Федерального закона</w:t>
        </w:r>
      </w:hyperlink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 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9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3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  Споры и разногласия по настоящему договору стороны будут стараться урегулировать путем переговоров.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9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4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 Одновременно с заключением настоящего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оговора Потребитель дает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Региональному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оператору согласие на обработку его персональных данных,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данных, в целях осуществления действий по настоящему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ru-RU" w:eastAsia="ru-RU" w:bidi="ar-SA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9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5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. Настоящий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 составлен в 2 экземплярах, имеющих равную юридическую силу.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1"/>
          <w:szCs w:val="21"/>
          <w:lang w:val="en-US" w:eastAsia="ru-RU" w:bidi="ar-SA"/>
        </w:rPr>
        <w:t>9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val="en-US" w:eastAsia="ru-RU"/>
        </w:rPr>
        <w:t>6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. </w:t>
      </w:r>
      <w:r>
        <w:fldChar w:fldCharType="begin"/>
      </w:r>
      <w:r>
        <w:rPr>
          <w:sz w:val="21"/>
          <w:szCs w:val="21"/>
          <w:bCs/>
          <w:rFonts w:eastAsia="Times New Roman" w:cs="Times New Roman" w:ascii="Times New Roman" w:hAnsi="Times New Roman"/>
        </w:rPr>
        <w:instrText> HYPERLINK "http://base.garant.ru/71540160/0955ab749140f921c85c864529b8e579/" \l "block_21000"</w:instrTex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separate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Приложение</w:t>
      </w:r>
      <w:r>
        <w:rPr>
          <w:sz w:val="21"/>
          <w:szCs w:val="21"/>
          <w:bCs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 xml:space="preserve"> к настоящему 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Д</w:t>
      </w:r>
      <w:r>
        <w:rPr>
          <w:rFonts w:eastAsia="Times New Roman" w:cs="Times New Roman" w:ascii="Times New Roman" w:hAnsi="Times New Roman"/>
          <w:bCs/>
          <w:color w:val="000000"/>
          <w:sz w:val="21"/>
          <w:szCs w:val="21"/>
          <w:lang w:eastAsia="ru-RU"/>
        </w:rPr>
        <w:t>оговору является его неотъемлемой частью.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tbl>
      <w:tblPr>
        <w:tblW w:w="9600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50"/>
        <w:gridCol w:w="4949"/>
      </w:tblGrid>
      <w:tr>
        <w:trPr>
          <w:trHeight w:val="396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Региональный оператор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1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Потребитель</w:t>
            </w:r>
          </w:p>
          <w:p>
            <w:pPr>
              <w:pStyle w:val="Normal"/>
              <w:spacing w:lineRule="auto" w:line="240" w:before="0" w:after="0"/>
              <w:ind w:firstLine="21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</w:r>
          </w:p>
        </w:tc>
      </w:tr>
      <w:tr>
        <w:trPr>
          <w:trHeight w:val="198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ООО «РМК»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1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Паспорт</w:t>
            </w:r>
          </w:p>
        </w:tc>
      </w:tr>
      <w:tr>
        <w:trPr>
          <w:trHeight w:val="607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Юр. адрес: 398531, Липецкая обл., Липецкий  р-н, с. Елецкое, пер. Майский, стр.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Адрес для корреспонденции: 398024, г. Липецк, ул. Союзная, д.6, оф.212. 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Адрес регистрации</w:t>
            </w:r>
          </w:p>
        </w:tc>
      </w:tr>
      <w:tr>
        <w:trPr>
          <w:trHeight w:val="198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ИНН/КПП 4813025295/481301001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Дата и место рождения</w:t>
            </w:r>
          </w:p>
        </w:tc>
      </w:tr>
      <w:tr>
        <w:trPr>
          <w:trHeight w:val="287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р/с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/>
              </w:rPr>
              <w:t>40702810902930007933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</w:tr>
      <w:tr>
        <w:trPr>
          <w:trHeight w:val="198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АО «АЛЬФА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БАНК»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</w:tr>
      <w:tr>
        <w:trPr>
          <w:trHeight w:val="198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к/с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30101810200000000593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</w:tr>
      <w:tr>
        <w:trPr>
          <w:trHeight w:val="198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БИК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044525593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</w:tr>
      <w:tr>
        <w:trPr>
          <w:trHeight w:val="211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ОГРН 1134813000541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</w:tr>
      <w:tr>
        <w:trPr>
          <w:trHeight w:val="195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Тел.: (4742) 47-99-18, 55-33-20 бухгалтерия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-</w:t>
            </w: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: info</w:t>
            </w:r>
            <w:hyperlink r:id="rId4">
              <w:r>
                <w:rPr>
                  <w:rFonts w:cs="Times New Roman" w:ascii="Times New Roman" w:hAnsi="Times New Roman"/>
                  <w:sz w:val="21"/>
                  <w:szCs w:val="21"/>
                  <w:lang w:val="en-US"/>
                </w:rPr>
                <w:t>@rmk48.ru</w:t>
              </w:r>
            </w:hyperlink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 xml:space="preserve">Директор </w:t>
      </w:r>
      <w:r>
        <w:rPr>
          <w:rFonts w:cs="Times New Roman" w:ascii="Times New Roman" w:hAnsi="Times New Roman"/>
          <w:b/>
          <w:sz w:val="21"/>
          <w:szCs w:val="21"/>
          <w:lang w:val="ru-RU"/>
        </w:rPr>
        <w:t>ООО «РМК»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ab/>
        <w:tab/>
        <w:t xml:space="preserve">                                                          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__________________ А.А. Горшин</w:t>
        <w:tab/>
        <w:t xml:space="preserve">      </w:t>
        <w:tab/>
        <w:t xml:space="preserve">              __________________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Courier New" w:ascii="Times New Roman" w:hAnsi="Times New Roman"/>
          <w:b/>
          <w:bCs/>
          <w:color w:val="000000"/>
          <w:sz w:val="21"/>
          <w:szCs w:val="21"/>
          <w:lang w:eastAsia="ru-RU"/>
        </w:rPr>
        <w:t xml:space="preserve">"____" ______________ 202__ г.                 </w:t>
        <w:tab/>
        <w:t xml:space="preserve">       "____" ______________ 202__ г.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sectPr>
          <w:type w:val="nextPage"/>
          <w:pgSz w:w="11906" w:h="16838"/>
          <w:pgMar w:left="1701" w:right="850" w:header="0" w:top="851" w:footer="0" w:bottom="709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Style w:val="Style15"/>
          <w:bCs/>
          <w:sz w:val="20"/>
          <w:szCs w:val="20"/>
        </w:rPr>
        <w:t xml:space="preserve">     </w:t>
      </w:r>
      <w:r>
        <w:rPr>
          <w:rStyle w:val="Style15"/>
          <w:bCs/>
          <w:sz w:val="20"/>
          <w:szCs w:val="20"/>
        </w:rPr>
        <w:t>Приложение к Договору №____-Р/О-А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bCs/>
          <w:sz w:val="20"/>
          <w:szCs w:val="20"/>
        </w:rPr>
        <w:t>на оказание услуг по обращению с ТКО</w:t>
      </w:r>
    </w:p>
    <w:p>
      <w:pPr>
        <w:pStyle w:val="Normal"/>
        <w:spacing w:lineRule="auto" w:line="240" w:before="0" w:after="0"/>
        <w:rPr>
          <w:sz w:val="16"/>
        </w:rPr>
      </w:pPr>
      <w:r>
        <w:rPr>
          <w:sz w:val="16"/>
        </w:rPr>
        <w:t xml:space="preserve">              </w:t>
      </w:r>
    </w:p>
    <w:p>
      <w:pPr>
        <w:pStyle w:val="Normal"/>
        <w:spacing w:lineRule="auto" w:line="240" w:before="0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8978" w:leader="none"/>
        </w:tabs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Style w:val="Style15"/>
          <w:sz w:val="20"/>
          <w:szCs w:val="20"/>
        </w:rPr>
        <w:t xml:space="preserve">                                        </w:t>
      </w:r>
      <w:r>
        <w:rPr>
          <w:rStyle w:val="Style15"/>
          <w:sz w:val="20"/>
          <w:szCs w:val="20"/>
        </w:rPr>
        <w:t>Норма накопления ТКО для индивидуальных жилищных строений на момент подписания настоящего Договора в год на 1 человека 2, 7  м3</w:t>
      </w:r>
    </w:p>
    <w:p>
      <w:pPr>
        <w:pStyle w:val="Normal"/>
        <w:tabs>
          <w:tab w:val="clear" w:pos="720"/>
          <w:tab w:val="left" w:pos="8978" w:leader="none"/>
        </w:tabs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Style w:val="Style15"/>
          <w:sz w:val="20"/>
          <w:szCs w:val="20"/>
        </w:rPr>
        <w:t xml:space="preserve">                                        </w:t>
      </w:r>
      <w:r>
        <w:rPr>
          <w:rStyle w:val="Style15"/>
          <w:sz w:val="20"/>
          <w:szCs w:val="20"/>
        </w:rPr>
        <w:t>Норма накопления ТКО от многоквартирного жилого дома на момент подписания настоящего Договора в год на 1 человека 2, 04 м3</w:t>
      </w:r>
    </w:p>
    <w:p>
      <w:pPr>
        <w:pStyle w:val="ListParagraph"/>
        <w:spacing w:lineRule="auto" w:line="240" w:before="0" w:after="0"/>
        <w:contextualSpacing/>
        <w:rPr>
          <w:sz w:val="20"/>
          <w:szCs w:val="20"/>
        </w:rPr>
      </w:pPr>
      <w:r>
        <w:rPr>
          <w:rFonts w:eastAsia="Times New Roman" w:cs="Arial" w:ascii="Times New Roman" w:hAnsi="Times New Roman"/>
          <w:b/>
          <w:bCs/>
          <w:color w:val="000000"/>
          <w:sz w:val="20"/>
          <w:szCs w:val="20"/>
          <w:lang w:eastAsia="ru-RU"/>
        </w:rPr>
        <w:tab/>
        <w:t xml:space="preserve">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0"/>
          <w:szCs w:val="20"/>
          <w:lang w:eastAsia="ru-RU"/>
        </w:rPr>
        <w:t xml:space="preserve">Единый тариф Регионального оператора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0"/>
          <w:szCs w:val="20"/>
          <w:lang w:eastAsia="ru-RU"/>
        </w:rPr>
        <w:t xml:space="preserve">ООО «РМК»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lang w:eastAsia="ru-RU"/>
        </w:rPr>
        <w:t xml:space="preserve">на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lang w:eastAsia="ru-RU"/>
        </w:rPr>
        <w:t>момент подписания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lang w:eastAsia="ru-RU"/>
        </w:rPr>
        <w:t xml:space="preserve">  составляет:</w:t>
      </w:r>
    </w:p>
    <w:p>
      <w:pPr>
        <w:pStyle w:val="ListParagraph"/>
        <w:spacing w:lineRule="auto" w:line="240" w:before="0" w:after="0"/>
        <w:ind w:left="1800" w:hanging="0"/>
        <w:contextualSpacing/>
        <w:rPr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highlight w:val="white"/>
          <w:lang w:eastAsia="ru-RU"/>
        </w:rPr>
        <w:t xml:space="preserve">На период с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highlight w:val="white"/>
          <w:lang w:val="ru-RU" w:eastAsia="ru-RU"/>
        </w:rPr>
        <w:t>01.07.202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highlight w:val="white"/>
          <w:lang w:val="ru-RU" w:eastAsia="ru-RU"/>
        </w:rPr>
        <w:t>5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highlight w:val="white"/>
          <w:lang w:val="ru-RU" w:eastAsia="ru-RU"/>
        </w:rPr>
        <w:t>г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highlight w:val="white"/>
          <w:lang w:eastAsia="ru-RU"/>
        </w:rPr>
        <w:t xml:space="preserve">. по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highlight w:val="white"/>
          <w:lang w:val="ru-RU" w:eastAsia="ru-RU"/>
        </w:rPr>
        <w:t>31.12.202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highlight w:val="white"/>
          <w:lang w:val="ru-RU" w:eastAsia="ru-RU"/>
        </w:rPr>
        <w:t>5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highlight w:val="white"/>
          <w:lang w:val="ru-RU" w:eastAsia="ru-RU"/>
        </w:rPr>
        <w:t>г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highlight w:val="white"/>
          <w:lang w:eastAsia="ru-RU"/>
        </w:rPr>
        <w:t>. -</w:t>
      </w:r>
      <w:r>
        <w:rPr>
          <w:rStyle w:val="Style15"/>
          <w:rFonts w:eastAsia="Times New Roman" w:cs="Times New Roman" w:ascii="Times New Roman" w:hAnsi="Times New Roman"/>
          <w:b/>
          <w:bCs/>
          <w:color w:val="000000"/>
          <w:sz w:val="20"/>
          <w:szCs w:val="20"/>
          <w:highlight w:val="white"/>
          <w:lang w:val="en-US" w:eastAsia="ru-RU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/>
          <w:bCs/>
          <w:color w:val="000000"/>
          <w:kern w:val="0"/>
          <w:sz w:val="20"/>
          <w:szCs w:val="20"/>
          <w:highlight w:val="white"/>
          <w:lang w:val="en-US" w:eastAsia="ru-RU" w:bidi="ar-SA"/>
        </w:rPr>
        <w:t>730</w:t>
      </w:r>
      <w:r>
        <w:rPr>
          <w:rStyle w:val="Style15"/>
          <w:rFonts w:eastAsia="Times New Roman" w:cs="Times New Roman" w:ascii="Times New Roman" w:hAnsi="Times New Roman"/>
          <w:b/>
          <w:bCs/>
          <w:color w:val="000000"/>
          <w:sz w:val="20"/>
          <w:szCs w:val="20"/>
          <w:highlight w:val="white"/>
          <w:lang w:val="en-US" w:eastAsia="ru-RU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/>
          <w:bCs/>
          <w:color w:val="000000"/>
          <w:sz w:val="20"/>
          <w:szCs w:val="20"/>
          <w:highlight w:val="white"/>
          <w:lang w:eastAsia="ru-RU"/>
        </w:rPr>
        <w:t xml:space="preserve">руб. </w:t>
      </w:r>
      <w:r>
        <w:rPr>
          <w:rStyle w:val="Style15"/>
          <w:rFonts w:eastAsia="Times New Roman" w:cs="Times New Roman" w:ascii="Times New Roman" w:hAnsi="Times New Roman"/>
          <w:b/>
          <w:bCs/>
          <w:color w:val="000000"/>
          <w:sz w:val="20"/>
          <w:szCs w:val="20"/>
          <w:highlight w:val="white"/>
          <w:lang w:val="en-US" w:eastAsia="ru-RU"/>
        </w:rPr>
        <w:t>7</w:t>
      </w:r>
      <w:r>
        <w:rPr>
          <w:rStyle w:val="Style15"/>
          <w:rFonts w:eastAsia="Times New Roman" w:cs="Times New Roman" w:ascii="Times New Roman" w:hAnsi="Times New Roman"/>
          <w:b/>
          <w:bCs/>
          <w:color w:val="000000"/>
          <w:sz w:val="20"/>
          <w:szCs w:val="20"/>
          <w:highlight w:val="white"/>
          <w:lang w:eastAsia="ru-RU"/>
        </w:rPr>
        <w:t>9 коп. за 1м3 без НДС</w:t>
      </w:r>
      <w:r>
        <w:rPr>
          <w:rStyle w:val="Style15"/>
          <w:b w:val="false"/>
          <w:bCs w:val="false"/>
          <w:sz w:val="20"/>
          <w:szCs w:val="20"/>
        </w:rPr>
        <w:tab/>
      </w:r>
      <w:r>
        <w:rPr>
          <w:rStyle w:val="Style15"/>
          <w:position w:val="6"/>
          <w:sz w:val="20"/>
          <w:szCs w:val="20"/>
        </w:rPr>
        <w:tab/>
      </w:r>
    </w:p>
    <w:p>
      <w:pPr>
        <w:pStyle w:val="Normal"/>
        <w:tabs>
          <w:tab w:val="clear" w:pos="720"/>
          <w:tab w:val="left" w:pos="8978" w:leader="none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  <w:bookmarkStart w:id="0" w:name="__DdeLink__5696_477366249"/>
      <w:bookmarkStart w:id="1" w:name="__DdeLink__5696_477366249"/>
      <w:bookmarkEnd w:id="1"/>
    </w:p>
    <w:tbl>
      <w:tblPr>
        <w:tblW w:w="13908" w:type="dxa"/>
        <w:jc w:val="left"/>
        <w:tblInd w:w="8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606"/>
        <w:gridCol w:w="1404"/>
        <w:gridCol w:w="1404"/>
        <w:gridCol w:w="2294"/>
        <w:gridCol w:w="2550"/>
      </w:tblGrid>
      <w:tr>
        <w:trPr>
          <w:trHeight w:val="609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Ф.И.О. (полностью)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собственников/зарегистрированных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Дата регистрации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Доля в праве собственности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(число, месяц, год)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на  человека</w:t>
            </w:r>
          </w:p>
        </w:tc>
      </w:tr>
      <w:tr>
        <w:trPr>
          <w:trHeight w:val="463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цене, определенной в пределах утвержденного в установленном порядке единого тарифа на оплату услуг Регионального оператора.</w:t>
            </w:r>
          </w:p>
        </w:tc>
      </w:tr>
      <w:tr>
        <w:trPr>
          <w:trHeight w:val="411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399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419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222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bookmarkStart w:id="2" w:name="__DdeLink__5696_4773662491"/>
      <w:bookmarkStart w:id="3" w:name="__DdeLink__5696_4773662491"/>
      <w:bookmarkEnd w:id="3"/>
    </w:p>
    <w:p>
      <w:pPr>
        <w:pStyle w:val="Normal"/>
        <w:spacing w:lineRule="auto" w:line="240" w:before="0" w:after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tabs>
          <w:tab w:val="clear" w:pos="720"/>
          <w:tab w:val="left" w:pos="8978" w:leader="none"/>
        </w:tabs>
        <w:spacing w:lineRule="auto" w:line="240" w:before="0" w:after="0"/>
        <w:rPr>
          <w:sz w:val="16"/>
        </w:rPr>
      </w:pPr>
      <w:r>
        <w:rPr/>
      </w:r>
    </w:p>
    <w:tbl>
      <w:tblPr>
        <w:tblStyle w:val="3"/>
        <w:tblW w:w="13890" w:type="dxa"/>
        <w:jc w:val="left"/>
        <w:tblInd w:w="831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0"/>
        <w:gridCol w:w="2445"/>
        <w:gridCol w:w="1005"/>
        <w:gridCol w:w="2055"/>
        <w:gridCol w:w="1920"/>
        <w:gridCol w:w="1935"/>
        <w:gridCol w:w="306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 xml:space="preserve">Наименование источника образования </w:t>
            </w: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>ТКО (квартира, жилой дом, другое)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 xml:space="preserve">Местонахождение источника образования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ТКО (адрес)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>Количество при</w:t>
            </w: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>оживающих / собственников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 xml:space="preserve">Место (площадка) накопления или место погрузки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ТКО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>Место (площадка) накопления или место погрузки крупногабаритных отходов (при наличии)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 xml:space="preserve">График вывоза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ТКО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 xml:space="preserve">Способ складирования </w:t>
            </w:r>
            <w:r>
              <w:rPr>
                <w:rFonts w:eastAsia="Calibri" w:cs="Arial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ТКО</w:t>
            </w: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 xml:space="preserve"> в соответствии с Правилами обращения с </w:t>
            </w:r>
            <w:r>
              <w:rPr>
                <w:rFonts w:eastAsia="Calibri" w:cs="Arial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ТКО</w:t>
            </w: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 xml:space="preserve">, утвержденными постановлением Правительства Российской Федерации от 7 марта 2025 г. N 293 "О порядке обращения с </w:t>
            </w:r>
            <w:r>
              <w:rPr>
                <w:rFonts w:eastAsia="Calibri" w:cs="Arial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ТКО</w:t>
            </w: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>"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 w:eastAsia="Calibri" w:cs="Arial"/>
                <w:b/>
                <w:b/>
                <w:bCs/>
                <w:color w:val="000000"/>
                <w:kern w:val="0"/>
                <w:sz w:val="20"/>
                <w:szCs w:val="20"/>
                <w:highlight w:val="white"/>
                <w:lang w:val="ru-RU" w:eastAsia="en-US" w:bidi="ar-SA"/>
              </w:rPr>
            </w:pPr>
            <w:r>
              <w:rPr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</w:pPr>
            <w:r>
              <w:rPr/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b/>
                <w:b/>
                <w:bCs/>
                <w:highlight w:val="white"/>
              </w:rPr>
            </w:pPr>
            <w:r>
              <w:rPr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</w:pPr>
            <w:r>
              <w:rPr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</w:pPr>
            <w:r>
              <w:rPr/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Normal"/>
              <w:widowControl w:val="false"/>
              <w:spacing w:lineRule="atLeast" w:line="200" w:before="0" w:after="1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highlight w:val="white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 xml:space="preserve">Региональный оператор </w:t>
        <w:tab/>
        <w:tab/>
        <w:tab/>
        <w:tab/>
        <w:tab/>
        <w:tab/>
        <w:t xml:space="preserve">                  Потребитель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 xml:space="preserve">                       </w:t>
      </w:r>
      <w:r>
        <w:rPr>
          <w:rFonts w:cs="Times New Roman" w:ascii="Times New Roman" w:hAnsi="Times New Roman"/>
          <w:b/>
          <w:sz w:val="21"/>
          <w:szCs w:val="21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Директор ООО «РМК»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__________________ А.А. Горшин</w:t>
        <w:tab/>
        <w:t xml:space="preserve">      </w:t>
        <w:tab/>
        <w:t xml:space="preserve">   </w:t>
        <w:tab/>
        <w:tab/>
        <w:tab/>
        <w:tab/>
        <w:t xml:space="preserve">     __________________ /__________________/ </w:t>
      </w:r>
    </w:p>
    <w:p>
      <w:pPr>
        <w:sectPr>
          <w:footerReference w:type="default" r:id="rId5"/>
          <w:type w:val="nextPage"/>
          <w:pgSz w:orient="landscape" w:w="16838" w:h="11906"/>
          <w:pgMar w:left="1134" w:right="720" w:header="0" w:top="720" w:footer="539" w:bottom="596" w:gutter="0"/>
          <w:pgNumType w:fmt="decimal"/>
          <w:formProt w:val="false"/>
          <w:textDirection w:val="lrTb"/>
          <w:docGrid w:type="default" w:linePitch="600" w:charSpace="36864"/>
        </w:sect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 xml:space="preserve">"____" ______________ 20___ г.                 </w:t>
        <w:tab/>
        <w:t xml:space="preserve">                 "____" ______________ 20___ г.</w:t>
      </w:r>
    </w:p>
    <w:p>
      <w:pPr>
        <w:pStyle w:val="Normal"/>
        <w:tabs>
          <w:tab w:val="clear" w:pos="720"/>
          <w:tab w:val="left" w:pos="1753" w:leader="none"/>
        </w:tabs>
        <w:spacing w:lineRule="auto" w:line="240" w:before="0" w:after="0"/>
        <w:rPr>
          <w:rStyle w:val="Style15"/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/>
      </w:r>
    </w:p>
    <w:p>
      <w:pPr>
        <w:pStyle w:val="Normal"/>
        <w:tabs>
          <w:tab w:val="clear" w:pos="720"/>
          <w:tab w:val="left" w:pos="1753" w:leader="none"/>
        </w:tabs>
        <w:spacing w:lineRule="auto" w:line="240" w:before="0" w:after="0"/>
        <w:rPr>
          <w:rStyle w:val="Style15"/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/>
      </w:r>
    </w:p>
    <w:p>
      <w:pPr>
        <w:pStyle w:val="Normal"/>
        <w:tabs>
          <w:tab w:val="clear" w:pos="720"/>
          <w:tab w:val="left" w:pos="1753" w:leader="none"/>
        </w:tabs>
        <w:spacing w:lineRule="auto" w:line="240" w:before="0" w:after="0"/>
        <w:rPr>
          <w:rStyle w:val="Style15"/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/>
      </w:r>
    </w:p>
    <w:p>
      <w:pPr>
        <w:pStyle w:val="Normal"/>
        <w:tabs>
          <w:tab w:val="clear" w:pos="720"/>
          <w:tab w:val="left" w:pos="1753" w:leader="none"/>
        </w:tabs>
        <w:spacing w:lineRule="auto" w:line="240" w:before="0" w:after="0"/>
        <w:rPr>
          <w:rStyle w:val="Style15"/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/>
      </w:r>
    </w:p>
    <w:p>
      <w:pPr>
        <w:pStyle w:val="Normal"/>
        <w:tabs>
          <w:tab w:val="clear" w:pos="720"/>
          <w:tab w:val="left" w:pos="1753" w:leader="none"/>
        </w:tabs>
        <w:spacing w:lineRule="auto" w:line="240" w:before="0" w:after="0"/>
        <w:rPr>
          <w:rStyle w:val="Style15"/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1"/>
          <w:szCs w:val="21"/>
        </w:rPr>
      </w:pPr>
      <w:r>
        <w:rPr/>
      </w:r>
    </w:p>
    <w:sectPr>
      <w:footerReference w:type="default" r:id="rId6"/>
      <w:type w:val="nextPage"/>
      <w:pgSz w:orient="landscape" w:w="16838" w:h="11906"/>
      <w:pgMar w:left="1440" w:right="1440" w:header="0" w:top="0" w:footer="0" w:bottom="56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suppressLineNumbers/>
      <w:tabs>
        <w:tab w:val="center" w:pos="7492" w:leader="none"/>
        <w:tab w:val="right" w:pos="14984" w:leader="none"/>
      </w:tabs>
      <w:suppressAutoHyphens w:val="true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0" w:type="dxa"/>
      <w:tblCellMar>
        <w:top w:w="0" w:type="dxa"/>
        <w:left w:w="40" w:type="dxa"/>
        <w:bottom w:w="0" w:type="dxa"/>
        <w:right w:w="40" w:type="dxa"/>
      </w:tblCellMar>
      <w:tblLook w:firstRow="0" w:noVBand="0" w:lastRow="0" w:firstColumn="0" w:lastColumn="0" w:noHBand="0"/>
    </w:tblPr>
    <w:tblGrid>
      <w:gridCol w:w="4652"/>
      <w:gridCol w:w="4653"/>
      <w:gridCol w:w="4653"/>
    </w:tblGrid>
    <w:tr>
      <w:trPr>
        <w:trHeight w:val="1170" w:hRule="exact"/>
      </w:trPr>
      <w:tc>
        <w:tcPr>
          <w:tcW w:w="465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4653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465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40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link w:val="40"/>
    <w:uiPriority w:val="9"/>
    <w:qFormat/>
    <w:rsid w:val="00672238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uiPriority w:val="9"/>
    <w:qFormat/>
    <w:rsid w:val="0067223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672238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3">
    <w:name w:val="Интернет-ссылка"/>
    <w:basedOn w:val="DefaultParagraphFont"/>
    <w:unhideWhenUsed/>
    <w:rsid w:val="00787505"/>
    <w:rPr>
      <w:color w:val="0000FF" w:themeColor="hyperlink"/>
      <w:u w:val="single"/>
    </w:rPr>
  </w:style>
  <w:style w:type="character" w:styleId="S10" w:customStyle="1">
    <w:name w:val="s_10"/>
    <w:basedOn w:val="DefaultParagraphFont"/>
    <w:qFormat/>
    <w:rsid w:val="00672238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b1298d"/>
    <w:rPr>
      <w:rFonts w:ascii="Tahoma" w:hAnsi="Tahoma" w:cs="Tahoma"/>
      <w:sz w:val="16"/>
      <w:szCs w:val="16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3" w:customStyle="1">
    <w:name w:val="s_3"/>
    <w:basedOn w:val="Normal"/>
    <w:qFormat/>
    <w:rsid w:val="006722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6722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uiPriority w:val="99"/>
    <w:semiHidden/>
    <w:unhideWhenUsed/>
    <w:qFormat/>
    <w:rsid w:val="00672238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22" w:customStyle="1">
    <w:name w:val="s_22"/>
    <w:basedOn w:val="Normal"/>
    <w:qFormat/>
    <w:rsid w:val="006722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rsid w:val="006722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52" w:customStyle="1">
    <w:name w:val="s_52"/>
    <w:basedOn w:val="Normal"/>
    <w:qFormat/>
    <w:rsid w:val="006722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 w:customStyle="1">
    <w:name w:val="Таблицы (моноширинный)"/>
    <w:basedOn w:val="Normal"/>
    <w:next w:val="Normal"/>
    <w:qFormat/>
    <w:rsid w:val="00ca4557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a1609"/>
    <w:pPr>
      <w:spacing w:before="0" w:after="200"/>
      <w:ind w:left="720" w:hanging="0"/>
      <w:contextualSpacing/>
    </w:pPr>
    <w:rPr/>
  </w:style>
  <w:style w:type="paragraph" w:styleId="Style23" w:customStyle="1">
    <w:name w:val="Колонтитул (левый)"/>
    <w:basedOn w:val="Normal"/>
    <w:next w:val="Normal"/>
    <w:qFormat/>
    <w:rsid w:val="00b1173d"/>
    <w:pPr>
      <w:widowControl w:val="false"/>
      <w:spacing w:lineRule="auto" w:line="240" w:before="0" w:after="0"/>
    </w:pPr>
    <w:rPr>
      <w:rFonts w:ascii="Arial" w:hAnsi="Arial" w:eastAsia="Times New Roman" w:cs="Arial"/>
      <w:sz w:val="14"/>
      <w:szCs w:val="1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b129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Footer"/>
    <w:basedOn w:val="Normal"/>
    <w:pPr>
      <w:suppressLineNumbers/>
      <w:tabs>
        <w:tab w:val="clear" w:pos="720"/>
        <w:tab w:val="center" w:pos="7492" w:leader="none"/>
        <w:tab w:val="right" w:pos="14984" w:leader="none"/>
      </w:tabs>
      <w:suppressAutoHyphens w:val="true"/>
    </w:pPr>
    <w:rPr/>
  </w:style>
  <w:style w:type="paragraph" w:styleId="Style26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hi-IN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152f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ase.garant.ru/71416736/" TargetMode="External"/><Relationship Id="rId3" Type="http://schemas.openxmlformats.org/officeDocument/2006/relationships/hyperlink" Target="http://base.garant.ru/12112084/" TargetMode="External"/><Relationship Id="rId4" Type="http://schemas.openxmlformats.org/officeDocument/2006/relationships/hyperlink" Target="mailto:rmk.lipetsk@mail.ru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EBA1-F4A0-41CF-AD4E-BCE6692F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Application>LibreOffice/6.4.0.3$Windows_x86 LibreOffice_project/b0a288ab3d2d4774cb44b62f04d5d28733ac6df8</Application>
  <Pages>8</Pages>
  <Words>2303</Words>
  <Characters>16089</Characters>
  <CharactersWithSpaces>18747</CharactersWithSpaces>
  <Paragraphs>144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2024-06-04T08:29:00Z</dcterms:created>
  <dc:creator>Татьяна C. Дорошук</dc:creator>
  <dc:description/>
  <dc:language>ru-RU</dc:language>
  <cp:lastModifiedBy/>
  <cp:lastPrinted>2025-11-21T14:57:58Z</cp:lastPrinted>
  <dcterms:modified xsi:type="dcterms:W3CDTF">2025-11-21T15:48:16Z</dcterms:modified>
  <cp:revision>236</cp:revision>
  <dc:subject/>
  <dc:title>Постановление Правительства РФ от 24.05.2024 N 671"О коммерческом учете объема и (или) массы твердых коммунальных отходов"(вместе с "Правилами коммерческого учета объема и (или) массы твердых коммунальных отходов")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